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 xml:space="preserve">TECHNIK USŁUG KOSMETYCZNYCH </w:t>
      </w:r>
      <w:r>
        <w:rPr>
          <w:rFonts w:hint="default"/>
          <w:b/>
          <w:bCs/>
          <w:sz w:val="40"/>
          <w:szCs w:val="40"/>
          <w:lang w:val="pl-PL"/>
        </w:rPr>
        <w:br w:type="textWrapping"/>
      </w:r>
      <w:r>
        <w:rPr>
          <w:rFonts w:hint="default"/>
          <w:b/>
          <w:bCs/>
          <w:sz w:val="40"/>
          <w:szCs w:val="40"/>
          <w:lang w:val="pl-PL"/>
        </w:rPr>
        <w:t xml:space="preserve">ul. Sienkiewicza 1 PRACOWNIE </w:t>
      </w:r>
    </w:p>
    <w:p>
      <w:pPr>
        <w:bidi w:val="0"/>
        <w:jc w:val="center"/>
        <w:rPr>
          <w:rFonts w:hint="default"/>
          <w:b/>
          <w:bCs/>
          <w:sz w:val="40"/>
          <w:szCs w:val="40"/>
          <w:lang w:val="pl-PL"/>
        </w:rPr>
      </w:pPr>
    </w:p>
    <w:tbl>
      <w:tblPr>
        <w:tblW w:w="20102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0"/>
        <w:gridCol w:w="4012"/>
        <w:gridCol w:w="4320"/>
        <w:gridCol w:w="4500"/>
        <w:gridCol w:w="4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</w:tblPrEx>
        <w:trPr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SOBOTA 11.03.2023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4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 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3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 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2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1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15:30 - 16:15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16:20 - 17:05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17:10 - 17:55</w:t>
            </w:r>
          </w:p>
        </w:tc>
        <w:tc>
          <w:tcPr>
            <w:tcW w:w="3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i upiększające oprawy oczu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tbl>
      <w:tblPr>
        <w:tblStyle w:val="3"/>
        <w:tblW w:w="20102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0"/>
        <w:gridCol w:w="3937"/>
        <w:gridCol w:w="4395"/>
        <w:gridCol w:w="4500"/>
        <w:gridCol w:w="4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 xml:space="preserve">NIEDZIELA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2023-03-12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4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3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2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65E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 w:eastAsia="zh-CN"/>
              </w:rPr>
              <w:t>Semestr 1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53119&amp;studyGroupId[]=59962&amp;studyGroupId[]=64437&amp;studyGroupId[]=69793&amp;isSubmit=true" \o "Oznacz Godziny Jako Zaplanowane" </w:instrText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Pracownia wizażu (makijaż fantazyjny)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15:30 - 16:15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16:20 - 17:05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17:10 - 17:55</w:t>
            </w:r>
          </w:p>
        </w:tc>
        <w:tc>
          <w:tcPr>
            <w:tcW w:w="3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Zabiegi pielęgnacyjne stóp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Joanna Mendera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07D6"/>
    <w:rsid w:val="46881588"/>
    <w:rsid w:val="7B6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2023-03-08T08:41:26Z</dcterms:created>
  <dc:creator>user</dc:creator>
  <cp:lastModifiedBy>user</cp:lastModifiedBy>
  <dcterms:modified xsi:type="dcterms:W3CDTF">2023-03-08T09:17:55Z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8901C7F8883841BFA0182F3A82DC7284</vt:lpwstr>
  </property>
</Properties>
</file>